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</w:rPr>
      </w:pP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cs="Tinos"/>
          <w:color w:val="auto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auto"/>
          <w:sz w:val="28"/>
          <w:szCs w:val="28"/>
          <w:highlight w:val="none"/>
        </w:rPr>
        <w:t xml:space="preserve">Забайкальский Росреестр: до 200 тысяч рублей штрафа может быть назначено за уничтожение пункта государственной 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</w:rPr>
        <w:t xml:space="preserve">геодезической сети</w:t>
      </w:r>
      <w:r>
        <w:rPr>
          <w:rFonts w:ascii="Tinos" w:hAnsi="Tinos" w:cs="Tinos"/>
          <w:b w:val="0"/>
          <w:bCs w:val="0"/>
          <w:color w:val="auto"/>
          <w:sz w:val="28"/>
          <w:szCs w:val="28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Забайкальского края количество пунктов государственной геодезической сети (ГГС), государственной нивелирной сети (ГНС) и государственной гравиметрической сети (ГГрС) в целом составляет 34 957 </w:t>
      </w:r>
      <w:r>
        <w:rPr>
          <w:rFonts w:ascii="Times New Roman" w:hAnsi="Times New Roman"/>
          <w:sz w:val="28"/>
          <w:szCs w:val="28"/>
        </w:rPr>
        <w:t xml:space="preserve">единиц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NewRoman"/>
          <w:sz w:val="28"/>
          <w:szCs w:val="28"/>
          <w:highlight w:val="none"/>
        </w:rPr>
      </w:r>
      <w:r>
        <w:rPr>
          <w:rFonts w:ascii="Times New Roman" w:hAnsi="Times New Roman" w:eastAsia="TimesNew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TimesNew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об охранных зонах пунктов государственной геодезической сети, государственной нивелирной сети             и государственной гравиметрической сети, утверждённого постановлением Правительства Российской Федерации о</w:t>
      </w:r>
      <w:r>
        <w:rPr>
          <w:rFonts w:ascii="Times New Roman" w:hAnsi="Times New Roman"/>
          <w:sz w:val="28"/>
          <w:szCs w:val="28"/>
        </w:rPr>
        <w:t xml:space="preserve">т 21.08.2019 № 1080, специалистами Управления при взаимодействии с Филиалом ППК «Роскадастр» по Забайкальскому краю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 23.06.2025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установлены охранные зоны и внесены сведения в Единый государственный реестр недвижимости (ЕГРН) о 10 92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ГГС, что составляет 100%, о 630 </w:t>
      </w:r>
      <w:r>
        <w:rPr>
          <w:rFonts w:ascii="Times New Roman" w:hAnsi="Times New Roman"/>
          <w:sz w:val="28"/>
          <w:szCs w:val="28"/>
        </w:rPr>
        <w:t xml:space="preserve">пунктах ГНС</w:t>
      </w:r>
      <w:r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sz w:val="28"/>
          <w:szCs w:val="28"/>
        </w:rPr>
        <w:t xml:space="preserve">11,76%, о 22 пунктах ГГрС, что составляет 100% (с учетом </w:t>
      </w:r>
      <w:r>
        <w:rPr>
          <w:rFonts w:ascii="Times New Roman" w:hAnsi="Times New Roman" w:eastAsia="TimesNewRoman"/>
          <w:sz w:val="28"/>
          <w:szCs w:val="28"/>
        </w:rPr>
        <w:t xml:space="preserve">уничтоженных и недоступных).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8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88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Проводимая Управлением Росреестра по Забайкальскому краю работа по внесению в Единый государственный реестр недвижимости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охранных зон геодезических пунктов способствует их сохранности.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8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1_88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центров, уничтожению, перемещению, засыпке или повреждению составных частей пунктов.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88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1_888"/>
        <w:numPr>
          <w:ilvl w:val="0"/>
          <w:numId w:val="5"/>
        </w:num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пунктам, – отмечает Татьяна Лобан, заместитель руководителя Управления Росреестра по Забайкальскому краю.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eastAsia="Tinos" w:cs="Tinos"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</w:rPr>
        <w:t xml:space="preserve">На сегодняшний день одной из актуальных проблем является уничтожение геодезических пунктов. 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</w:rPr>
        <w:t xml:space="preserve">В соответствии со статьей 42 Земельного кодекса РФ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вии с законодательством. Повреждение или уничтожение геодезических пунктов, а также хищение материалов, из которых они изготовлены, влекут за собой ответственность в соответствии со ст. 7.2 Кодекса РФ об административ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ных правонарушениях: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</w:rPr>
        <w:t xml:space="preserve">– за неуведомление об изменениях состояния пункта или отказ в предоставлении возможности проезда к нему – предупреждение или наложение административного штрафа в размере от 1000</w:t>
        <w:br/>
        <w:t xml:space="preserve">до 5000 рублей;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</w:rPr>
        <w:t xml:space="preserve">– за уничтожение, повреждение или снос пунктов государственных геодезических сетей – наложение административного штрафа на граждан в размере от 5000 до 10 000 рублей; на должностных лиц – от 10 000 до 50 000 рублей; на юридических лиц – от 50 000 до 200 00</w:t>
      </w:r>
      <w:r>
        <w:rPr>
          <w:rFonts w:ascii="Tinos" w:hAnsi="Tinos" w:eastAsia="Tinos" w:cs="Tinos"/>
          <w:color w:val="auto"/>
          <w:sz w:val="28"/>
          <w:szCs w:val="28"/>
        </w:rPr>
        <w:t xml:space="preserve">0 рублей.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#Геодезия #ПунктГГС #Ответственность #СохранимГеодезическиеПунктыВместе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  <w:style w:type="paragraph" w:styleId="1_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2025-06-23T06:56:45Z</dcterms:modified>
</cp:coreProperties>
</file>